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(każdy rocznik wybiera dwie grupy językowe; każdy język odbywa się trzy razy w tygodniu)</w:t>
      </w:r>
    </w:p>
    <w:p w:rsidR="00000000" w:rsidDel="00000000" w:rsidP="00000000" w:rsidRDefault="00000000" w:rsidRPr="00000000" w14:paraId="00000003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385"/>
        <w:gridCol w:w="2835"/>
        <w:gridCol w:w="2977"/>
        <w:gridCol w:w="2835"/>
        <w:gridCol w:w="2693"/>
        <w:tblGridChange w:id="0">
          <w:tblGrid>
            <w:gridCol w:w="1860"/>
            <w:gridCol w:w="2385"/>
            <w:gridCol w:w="2835"/>
            <w:gridCol w:w="2977"/>
            <w:gridCol w:w="2835"/>
            <w:gridCol w:w="2693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08.00–09:30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J.Getka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 I grupa)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. Grącka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ROSYJSKI B.2.1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 Getka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J.Getka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Style w:val="Title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44bgz9be7oy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I rok</w:t>
        <w:tab/>
        <w:tab/>
        <w:t xml:space="preserve">I stopień</w:t>
      </w:r>
    </w:p>
    <w:p w:rsidR="00000000" w:rsidDel="00000000" w:rsidP="00000000" w:rsidRDefault="00000000" w:rsidRPr="00000000" w14:paraId="00000100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(przedmioty do wyboru: 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rtl w:val="0"/>
        </w:rPr>
        <w:t xml:space="preserve">Historia kultury krajów regionu do 1918r. x 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b050"/>
          <w:sz w:val="18"/>
          <w:szCs w:val="18"/>
          <w:rtl w:val="0"/>
        </w:rPr>
        <w:t xml:space="preserve">Nauka języka kraju regionu x 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Wstęp do badań nad kulturową historią regionu x 1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49.0" w:type="dxa"/>
        <w:jc w:val="left"/>
        <w:tblInd w:w="-7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2025"/>
        <w:gridCol w:w="2715"/>
        <w:gridCol w:w="2490"/>
        <w:gridCol w:w="2828"/>
        <w:gridCol w:w="3571"/>
        <w:tblGridChange w:id="0">
          <w:tblGrid>
            <w:gridCol w:w="1920"/>
            <w:gridCol w:w="2025"/>
            <w:gridCol w:w="2715"/>
            <w:gridCol w:w="2490"/>
            <w:gridCol w:w="2828"/>
            <w:gridCol w:w="3571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left="92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08.00–09:30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Historia kultury krajów regionu do 1918 r. – Rosja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prof. ucz. J. Grzybowski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208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Wstęp do badań nad kulturową historią regionu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I grupa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305</w:t>
            </w:r>
          </w:p>
        </w:tc>
      </w:tr>
      <w:tr>
        <w:trPr>
          <w:cantSplit w:val="0"/>
          <w:trHeight w:val="1765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Historia kultury krajów regionu do 1918 r. Litwa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Historia kultury krajów regionu do 1918 r. – Niemcy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dr G. Gąsior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myśli kulturoznawczej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Niemojewski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Historia kultury krajów regionu do 1918 r. –Białoruś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Prof. V. Shved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Historia kultury krajów regionu do 1918 r. – Czechy, Słowacja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dr G. Gąsior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Wprowadzenie do badań nad kulturą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Niemojewski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Historia kultury krajów regionu do 1918 r – Polska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dr R. Boroch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Wstęp do badań nad kulturową historią regionu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dr M. Niemojewski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 II grupa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Historia kultury krajów regionu do 1918 r. – Ukraina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305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" w:cs="Arial" w:eastAsia="Arial" w:hAnsi="Arial"/>
          <w:b w:val="1"/>
          <w:color w:val="9900ff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II rok</w:t>
        <w:tab/>
        <w:tab/>
        <w:t xml:space="preserve">I stopień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przedmioty do wyboru: </w:t>
      </w:r>
      <w:r w:rsidDel="00000000" w:rsidR="00000000" w:rsidRPr="00000000">
        <w:rPr>
          <w:rFonts w:ascii="Arial" w:cs="Arial" w:eastAsia="Arial" w:hAnsi="Arial"/>
          <w:color w:val="9900ff"/>
          <w:sz w:val="18"/>
          <w:szCs w:val="18"/>
          <w:rtl w:val="0"/>
        </w:rPr>
        <w:t xml:space="preserve">przedmiot fakultatywny x1</w:t>
      </w:r>
      <w:r w:rsidDel="00000000" w:rsidR="00000000" w:rsidRPr="00000000">
        <w:rPr>
          <w:rtl w:val="0"/>
        </w:rPr>
      </w:r>
    </w:p>
    <w:tbl>
      <w:tblPr>
        <w:tblStyle w:val="Table3"/>
        <w:tblW w:w="15877.000000000004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8"/>
        <w:gridCol w:w="2554"/>
        <w:gridCol w:w="2431"/>
        <w:gridCol w:w="3238"/>
        <w:gridCol w:w="2716"/>
        <w:gridCol w:w="3260"/>
        <w:tblGridChange w:id="0">
          <w:tblGrid>
            <w:gridCol w:w="1678"/>
            <w:gridCol w:w="2554"/>
            <w:gridCol w:w="2431"/>
            <w:gridCol w:w="3238"/>
            <w:gridCol w:w="2716"/>
            <w:gridCol w:w="3260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Problemy kultury krajów regionu - Niemcy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 M. Brzezińska-Pająk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Współczesne kierunki badań nad kulturą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Dr M. Brzezińska-Pająk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208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Problemy kultury krajów regionu – Rosja 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Problemy kultury krajów regionu – Czechy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 G. Gąsior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205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Życie kulturalne Wilna w okresie międzywojennym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106a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Problemy kultury krajów regionu - Białoruś, Ukraina, Polska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Technologie informacyjne i komunikacyjne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504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Wielkie postaci kultury białoruskiej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prof. V. Shved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</w:t>
              <w:br w:type="textWrapping"/>
              <w:t xml:space="preserve">Dynastia Jagiellonów na tronie polskim w tradycji i kulturze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III rok</w:t>
        <w:tab/>
        <w:tab/>
        <w:t xml:space="preserve">I stopień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93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2645"/>
        <w:gridCol w:w="3025"/>
        <w:gridCol w:w="2835"/>
        <w:gridCol w:w="2288"/>
        <w:gridCol w:w="3098"/>
        <w:tblGridChange w:id="0">
          <w:tblGrid>
            <w:gridCol w:w="1702"/>
            <w:gridCol w:w="2645"/>
            <w:gridCol w:w="3025"/>
            <w:gridCol w:w="2835"/>
            <w:gridCol w:w="2288"/>
            <w:gridCol w:w="309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Nowe media w kulturze regionu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Kultura krajów regionu w kontekście europejskim – Niemcy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Brzezińska-Pająk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Kultura krajów regionu w kontekście europejskim – Czechy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G. Gąsior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eaa02ug82xvw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Seminarium licencjackie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V. Shved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316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Kultura krajów regionu w kontekście europejskim – Rosja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Seminarium licencjackie 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316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Seminarium licencjackie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316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tabs>
          <w:tab w:val="left" w:pos="19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545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ROZKŁAD ZAJĘĆ W SEMESTRZE ZIMOWYM</w:t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  <w:rtl w:val="0"/>
      </w:rPr>
      <w:tab/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ROK AKADEMICKI 2021/2022</w:t>
    </w:r>
  </w:p>
  <w:p w:rsidR="00000000" w:rsidDel="00000000" w:rsidP="00000000" w:rsidRDefault="00000000" w:rsidRPr="00000000" w14:paraId="000001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6000"/>
      </w:tabs>
      <w:jc w:val="center"/>
      <w:rPr>
        <w:rFonts w:ascii="Arial Narrow" w:cs="Arial Narrow" w:eastAsia="Arial Narrow" w:hAnsi="Arial Narrow"/>
        <w:b w:val="1"/>
        <w:color w:val="00000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</w:rPr>
      <w:drawing>
        <wp:inline distB="0" distT="0" distL="0" distR="0">
          <wp:extent cx="4782217" cy="90500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</w:style>
  <w:style w:type="paragraph" w:styleId="Nagwek1">
    <w:name w:val="heading 1"/>
    <w:basedOn w:val="Normalny"/>
    <w:next w:val="Normalny"/>
    <w:link w:val="Nagwek1Znak"/>
    <w:uiPriority w:val="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JObQYImkktYM2C6mPk9HTfXSw==">AMUW2mU4xeyMf0m3c2pz+EjEcBy/vLchg7PVWT6qt0Q9WcUgAAlJZATTLwfG18AvjkrO8CtBeMat7Ui2Hy8to8/YWHzWZAFDlLuLx7R30DAGl9ekg7k88dpCCThPG66vwkHvF3gBuV8Zh0e9Ro08RQ9XP5V3cQQJbyHJUGEgMk+Recd8KIMiTJQ=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2017-09-29T13:40:00Z</dcterms:created>
  <dc:creator>Sekretariat</dc:creator>
</cp:coreProperties>
</file>