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(każdy rocznik wybiera dwie grupy językowe; każdy język odbywa się trzy razy w tygodniu)</w:t>
      </w:r>
    </w:p>
    <w:tbl>
      <w:tblPr>
        <w:tblStyle w:val="Table1"/>
        <w:tblW w:w="16016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4"/>
        <w:gridCol w:w="3544"/>
        <w:gridCol w:w="3118"/>
        <w:gridCol w:w="3119"/>
        <w:gridCol w:w="2551"/>
        <w:gridCol w:w="2410"/>
        <w:tblGridChange w:id="0">
          <w:tblGrid>
            <w:gridCol w:w="1274"/>
            <w:gridCol w:w="3544"/>
            <w:gridCol w:w="3118"/>
            <w:gridCol w:w="3119"/>
            <w:gridCol w:w="2551"/>
            <w:gridCol w:w="241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08.00–9:30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grupa)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 2.2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A. Moskwin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 grupa)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(II gr)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15.00–16:30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  <w:br w:type="textWrapping"/>
              <w:t xml:space="preserve">dr M. Grącka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I rok</w:t>
        <w:tab/>
        <w:tab/>
        <w:t xml:space="preserve">I stopień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przedmioty do wyboru: </w:t>
      </w:r>
      <w:r w:rsidDel="00000000" w:rsidR="00000000" w:rsidRPr="00000000">
        <w:rPr>
          <w:rFonts w:ascii="Arial" w:cs="Arial" w:eastAsia="Arial" w:hAnsi="Arial"/>
          <w:color w:val="9900ff"/>
          <w:sz w:val="20"/>
          <w:szCs w:val="20"/>
          <w:rtl w:val="0"/>
        </w:rPr>
        <w:t xml:space="preserve">przedmiot fakultatywny x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F1">
      <w:pPr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44.0" w:type="dxa"/>
        <w:jc w:val="left"/>
        <w:tblInd w:w="-7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205"/>
        <w:gridCol w:w="2725"/>
        <w:gridCol w:w="2595"/>
        <w:gridCol w:w="2828"/>
        <w:gridCol w:w="3571"/>
        <w:tblGridChange w:id="0">
          <w:tblGrid>
            <w:gridCol w:w="1620"/>
            <w:gridCol w:w="2205"/>
            <w:gridCol w:w="2725"/>
            <w:gridCol w:w="2595"/>
            <w:gridCol w:w="2828"/>
            <w:gridCol w:w="3571"/>
          </w:tblGrid>
        </w:tblGridChange>
      </w:tblGrid>
      <w:tr>
        <w:trPr>
          <w:trHeight w:val="1287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92" w:firstLine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r. – Rosja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J. Grzybowski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r. – Czechy, Słowacja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G. Gąsior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7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r. –Białoruś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V. Shved 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 – Litwa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Polskie kresy: literackie i artystycznie (Białoruś)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prof. V. Shved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po 1918 r. – Niemcy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G. Gąsior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Nostalgia i NRD w niemieckim filmie po 1989 roku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M. Brzezińska-Pająk</w:t>
            </w:r>
          </w:p>
        </w:tc>
      </w:tr>
      <w:tr>
        <w:trPr>
          <w:trHeight w:val="9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Dzieje chrześcijaństwa na Litwie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Dramaturgia i teatr w okresie odrodzenia narodowego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hab. A.Moskwin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Doskonalenie umiejętności interpersonalnych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mgr R.Pilipaviuciute-Gugała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Wstęp do badań nad kulturową historią regionu 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Mgr K. Dwornik</w:t>
            </w:r>
          </w:p>
        </w:tc>
      </w:tr>
      <w:tr>
        <w:trPr>
          <w:trHeight w:val="1287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 – Polska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 Boroch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Kobieta w literaturze i kulturze rosyjskiej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hab. I. Krycka-Michnowska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O pożytkach z opowiadania baśni i wymyślania języków, czyli dzieło J.R.R. Tolkiena z perspektywy antropologicznej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dr M. Niemojewski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kultury krajów regionu do 1918 r. – Ukraina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K. Dwornik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Kultura prezentacji i sztuka pisania z wiedzą o ochronie własności intelektualnej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 J. Kozłowska</w:t>
            </w:r>
          </w:p>
        </w:tc>
      </w:tr>
      <w:tr>
        <w:trPr>
          <w:trHeight w:val="1287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Przedmiot fakultatywny: Biblioteki i archiwa cyfrowe: budowa i użytkowanie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mgr K. Dwornik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II rok</w:t>
        <w:tab/>
        <w:tab/>
        <w:t xml:space="preserve">I stopień</w:t>
      </w:r>
    </w:p>
    <w:tbl>
      <w:tblPr>
        <w:tblStyle w:val="Table3"/>
        <w:tblW w:w="15961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8"/>
        <w:gridCol w:w="1859"/>
        <w:gridCol w:w="2410"/>
        <w:gridCol w:w="2976"/>
        <w:gridCol w:w="2694"/>
        <w:gridCol w:w="2268"/>
        <w:gridCol w:w="2126"/>
        <w:tblGridChange w:id="0">
          <w:tblGrid>
            <w:gridCol w:w="1628"/>
            <w:gridCol w:w="1859"/>
            <w:gridCol w:w="2410"/>
            <w:gridCol w:w="2976"/>
            <w:gridCol w:w="2694"/>
            <w:gridCol w:w="2268"/>
            <w:gridCol w:w="2126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Sobota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Problemy kultury krajów regionu – Niemcy 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M. Brzezińska-Pająk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Kultura audiowizualna i performatywna w EŚW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 M. Brzezińska-Pająk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Problemy kultury krajów regionu – Czechy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G. Gąsior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8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Problemy kultury krajów regionu – Rosja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Kultura pogranicza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 R.Boroch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color w:val="ff00ff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III rok</w:t>
        <w:tab/>
        <w:tab/>
        <w:t xml:space="preserve">I stopień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przedmioty do wyboru: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ff"/>
          <w:sz w:val="18"/>
          <w:szCs w:val="18"/>
          <w:rtl w:val="0"/>
        </w:rPr>
        <w:t xml:space="preserve">przedmiot fakultatywny x1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93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2645"/>
        <w:gridCol w:w="1370"/>
        <w:gridCol w:w="1371"/>
        <w:gridCol w:w="1559"/>
        <w:gridCol w:w="1560"/>
        <w:gridCol w:w="2288"/>
        <w:gridCol w:w="3098"/>
        <w:tblGridChange w:id="0">
          <w:tblGrid>
            <w:gridCol w:w="1702"/>
            <w:gridCol w:w="2645"/>
            <w:gridCol w:w="1370"/>
            <w:gridCol w:w="1371"/>
            <w:gridCol w:w="1559"/>
            <w:gridCol w:w="1560"/>
            <w:gridCol w:w="2288"/>
            <w:gridCol w:w="3098"/>
          </w:tblGrid>
        </w:tblGridChange>
      </w:tblGrid>
      <w:tr>
        <w:trPr>
          <w:trHeight w:val="123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trHeight w:val="1239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Historia kultury krajów regionu - Czechy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dr B. Kubokova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Animacja kultury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 M. Brzezińska-Pająk</w:t>
            </w:r>
          </w:p>
        </w:tc>
      </w:tr>
      <w:tr>
        <w:trPr>
          <w:trHeight w:val="1239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Historia kultury krajów regionu - Rosja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hab. A. Moskiwn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Polskie kresy: literackie i artystycznie (Białoruś)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prof. V. Shved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Nostalgia i NRD w niemieckim filmie po 1989 roku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dr M. Brzezińska-Pająk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Dzieje chrześcijaństwa na Litwie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dr J. Kozłowska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 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Dramaturgia i teatr w okresie odrodzenia narodowego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dr hab. A.Moskwin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Doskonalenie umiejętności interpersonalnych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mgr R.Pilipaviuciute-Gugała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Kobieta w literaturze i kulturze rosyjskiej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dr hab. I. Krycka-Michnowska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O pożytkach z opowiadania baśni i wymyślania języków, czyli dzieło J.R.R. Tolkiena z perspektywy antropologicznej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dr M. Niemojewski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 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J. Kozłowska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hab. A. Moskwin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Przedmiot fakultatywny: Biblioteki i archiwa cyfrowe: budowa i użytkowanie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ff"/>
                <w:sz w:val="18"/>
                <w:szCs w:val="18"/>
                <w:rtl w:val="0"/>
              </w:rPr>
              <w:t xml:space="preserve">mgr K. Dwornik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tabs>
          <w:tab w:val="left" w:pos="1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545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ROZKŁAD ZAJĘĆ W SEMESTRZE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LETNIM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  <w:rtl w:val="0"/>
      </w:rPr>
      <w:tab/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ROK AKADEMICKI 2020/2021</w:t>
    </w:r>
  </w:p>
  <w:p w:rsidR="00000000" w:rsidDel="00000000" w:rsidP="00000000" w:rsidRDefault="00000000" w:rsidRPr="00000000" w14:paraId="000001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6000"/>
      </w:tabs>
      <w:jc w:val="center"/>
      <w:rPr>
        <w:rFonts w:ascii="Arial Narrow" w:cs="Arial Narrow" w:eastAsia="Arial Narrow" w:hAnsi="Arial Narrow"/>
        <w:b w:val="1"/>
        <w:color w:val="00000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</w:rPr>
      <w:drawing>
        <wp:inline distB="0" distT="0" distL="0" distR="0">
          <wp:extent cx="4782217" cy="905001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</w:style>
  <w:style w:type="paragraph" w:styleId="Nagwek1">
    <w:name w:val="heading 1"/>
    <w:basedOn w:val="Normalny"/>
    <w:next w:val="Normalny"/>
    <w:link w:val="Nagwek1Znak"/>
    <w:uiPriority w:val="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DF10B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C11957"/>
  </w:style>
  <w:style w:type="table" w:styleId="TableNormal2" w:customStyle="1">
    <w:name w:val="Table Normal"/>
    <w:rsid w:val="00C1195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C1195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rsid w:val="00C1195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3"/>
    <w:rsid w:val="00C1195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3"/>
    <w:rsid w:val="00C1195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3"/>
    <w:rsid w:val="00C1195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3"/>
    <w:rsid w:val="00C11957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A777A"/>
    <w:pPr>
      <w:spacing w:after="100" w:afterAutospacing="1" w:before="100" w:beforeAutospacing="1"/>
    </w:pPr>
  </w:style>
  <w:style w:type="table" w:styleId="a5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3"/>
    <w:rsid w:val="00C1195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2"/>
    <w:rsid w:val="00DF10B7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F+F5GOb/JqHFxKQ6lO5ksstPQ==">AMUW2mWPbR4+AjHDU9zompDsFXA9RW+I1rKbf4nzCfxANa8PmbVNAoF0L4MOSzdmJp4UyLUteN9VO/vrta+ClyYcmP6EUdzgdwk4JOLTZ0ISEMv89/vYHLytI/U6kqAwBDXrPK3E6iXEbtOxp06Bt0jRvnWgKtiO7j2L2pfDJU9FIK8n612Oi4Y=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2017-09-29T13:40:00Z</dcterms:created>
  <dc:creator>Sekretariat</dc:creator>
</cp:coreProperties>
</file>